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59AAA2B4" w:rsidR="002C2B73" w:rsidRDefault="002C2B73" w:rsidP="002C2B73">
      <w:pPr>
        <w:pStyle w:val="Ttulo2"/>
        <w:jc w:val="center"/>
        <w:rPr>
          <w:rFonts w:ascii="Arial" w:hAnsi="Arial" w:cs="Arial"/>
          <w:caps/>
          <w:sz w:val="22"/>
          <w:szCs w:val="22"/>
        </w:rPr>
      </w:pPr>
    </w:p>
    <w:p w14:paraId="11219662" w14:textId="480661B3" w:rsidR="005070E3" w:rsidRPr="002C2B73" w:rsidRDefault="00BB2C41" w:rsidP="002C2B73">
      <w:pPr>
        <w:pStyle w:val="Ttulo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0230BEFE" w:rsidR="000C6559" w:rsidRDefault="009C1F31"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79C51C3F">
                <wp:simplePos x="0" y="0"/>
                <wp:positionH relativeFrom="column">
                  <wp:posOffset>69850</wp:posOffset>
                </wp:positionH>
                <wp:positionV relativeFrom="paragraph">
                  <wp:posOffset>123190</wp:posOffset>
                </wp:positionV>
                <wp:extent cx="6257925" cy="901700"/>
                <wp:effectExtent l="0" t="0" r="28575" b="12700"/>
                <wp:wrapNone/>
                <wp:docPr id="1746961184" name="Text Box 1"/>
                <wp:cNvGraphicFramePr/>
                <a:graphic xmlns:a="http://schemas.openxmlformats.org/drawingml/2006/main">
                  <a:graphicData uri="http://schemas.microsoft.com/office/word/2010/wordprocessingShape">
                    <wps:wsp>
                      <wps:cNvSpPr txBox="1"/>
                      <wps:spPr>
                        <a:xfrm>
                          <a:off x="0" y="0"/>
                          <a:ext cx="6257925" cy="901700"/>
                        </a:xfrm>
                        <a:prstGeom prst="rect">
                          <a:avLst/>
                        </a:prstGeom>
                        <a:solidFill>
                          <a:schemeClr val="lt1"/>
                        </a:solidFill>
                        <a:ln w="6350">
                          <a:solidFill>
                            <a:prstClr val="black"/>
                          </a:solidFill>
                        </a:ln>
                      </wps:spPr>
                      <wps:txbx>
                        <w:txbxContent>
                          <w:p w14:paraId="1829B260" w14:textId="7ED89D1D" w:rsidR="009C1F31" w:rsidRDefault="009C1F31" w:rsidP="009C1F31">
                            <w:pPr>
                              <w:jc w:val="both"/>
                              <w:rPr>
                                <w:rFonts w:ascii="Arial" w:hAnsi="Arial" w:cs="Arial"/>
                                <w:sz w:val="22"/>
                                <w:szCs w:val="22"/>
                              </w:rPr>
                            </w:pPr>
                            <w:r w:rsidRPr="009C1F31">
                              <w:rPr>
                                <w:rFonts w:ascii="Arial" w:hAnsi="Arial" w:cs="Arial"/>
                                <w:sz w:val="22"/>
                                <w:szCs w:val="22"/>
                              </w:rPr>
                              <w:t xml:space="preserve">The </w:t>
                            </w:r>
                            <w:proofErr w:type="spellStart"/>
                            <w:r w:rsidRPr="009C1F31">
                              <w:rPr>
                                <w:rFonts w:ascii="Arial" w:hAnsi="Arial" w:cs="Arial"/>
                                <w:sz w:val="22"/>
                                <w:szCs w:val="22"/>
                              </w:rPr>
                              <w:t>Unergent</w:t>
                            </w:r>
                            <w:proofErr w:type="spellEnd"/>
                            <w:r w:rsidRPr="009C1F31">
                              <w:rPr>
                                <w:rFonts w:ascii="Arial" w:hAnsi="Arial" w:cs="Arial"/>
                                <w:sz w:val="22"/>
                                <w:szCs w:val="22"/>
                              </w:rPr>
                              <w:t xml:space="preserve"> Update </w:t>
                            </w:r>
                            <w:proofErr w:type="gramStart"/>
                            <w:r w:rsidRPr="009C1F31">
                              <w:rPr>
                                <w:rFonts w:ascii="Arial" w:hAnsi="Arial" w:cs="Arial"/>
                                <w:sz w:val="22"/>
                                <w:szCs w:val="22"/>
                              </w:rPr>
                              <w:t>And</w:t>
                            </w:r>
                            <w:proofErr w:type="gramEnd"/>
                            <w:r w:rsidRPr="009C1F31">
                              <w:rPr>
                                <w:rFonts w:ascii="Arial" w:hAnsi="Arial" w:cs="Arial"/>
                                <w:sz w:val="22"/>
                                <w:szCs w:val="22"/>
                              </w:rPr>
                              <w:t xml:space="preserve"> R</w:t>
                            </w:r>
                            <w:r>
                              <w:rPr>
                                <w:rFonts w:ascii="Arial" w:hAnsi="Arial" w:cs="Arial"/>
                                <w:sz w:val="22"/>
                                <w:szCs w:val="22"/>
                              </w:rPr>
                              <w:t xml:space="preserve">eview </w:t>
                            </w:r>
                            <w:proofErr w:type="gramStart"/>
                            <w:r>
                              <w:rPr>
                                <w:rFonts w:ascii="Arial" w:hAnsi="Arial" w:cs="Arial"/>
                                <w:sz w:val="22"/>
                                <w:szCs w:val="22"/>
                              </w:rPr>
                              <w:t>Of</w:t>
                            </w:r>
                            <w:proofErr w:type="gramEnd"/>
                            <w:r>
                              <w:rPr>
                                <w:rFonts w:ascii="Arial" w:hAnsi="Arial" w:cs="Arial"/>
                                <w:sz w:val="22"/>
                                <w:szCs w:val="22"/>
                              </w:rPr>
                              <w:t xml:space="preserve"> Spillway Works </w:t>
                            </w:r>
                            <w:proofErr w:type="gramStart"/>
                            <w:r>
                              <w:rPr>
                                <w:rFonts w:ascii="Arial" w:hAnsi="Arial" w:cs="Arial"/>
                                <w:sz w:val="22"/>
                                <w:szCs w:val="22"/>
                              </w:rPr>
                              <w:t>In</w:t>
                            </w:r>
                            <w:proofErr w:type="gramEnd"/>
                            <w:r>
                              <w:rPr>
                                <w:rFonts w:ascii="Arial" w:hAnsi="Arial" w:cs="Arial"/>
                                <w:sz w:val="22"/>
                                <w:szCs w:val="22"/>
                              </w:rPr>
                              <w:t xml:space="preserve"> Reservoirs: An Imperative </w:t>
                            </w:r>
                            <w:proofErr w:type="gramStart"/>
                            <w:r>
                              <w:rPr>
                                <w:rFonts w:ascii="Arial" w:hAnsi="Arial" w:cs="Arial"/>
                                <w:sz w:val="22"/>
                                <w:szCs w:val="22"/>
                              </w:rPr>
                              <w:t>For</w:t>
                            </w:r>
                            <w:proofErr w:type="gramEnd"/>
                            <w:r>
                              <w:rPr>
                                <w:rFonts w:ascii="Arial" w:hAnsi="Arial" w:cs="Arial"/>
                                <w:sz w:val="22"/>
                                <w:szCs w:val="22"/>
                              </w:rPr>
                              <w:t xml:space="preserve"> Engineering Safety.</w:t>
                            </w:r>
                          </w:p>
                          <w:p w14:paraId="2BA1D47A" w14:textId="77777777" w:rsidR="009C1F31" w:rsidRPr="009C1F31" w:rsidRDefault="009C1F31" w:rsidP="009C1F31">
                            <w:pPr>
                              <w:jc w:val="both"/>
                              <w:rPr>
                                <w:rFonts w:ascii="Arial" w:hAnsi="Arial" w:cs="Arial"/>
                                <w:sz w:val="22"/>
                                <w:szCs w:val="22"/>
                              </w:rPr>
                            </w:pPr>
                          </w:p>
                          <w:p w14:paraId="38A50B74" w14:textId="055E9293" w:rsidR="006C6E71" w:rsidRPr="00FF4ADD" w:rsidRDefault="00FF4ADD" w:rsidP="009C1F31">
                            <w:pPr>
                              <w:jc w:val="both"/>
                              <w:rPr>
                                <w:rFonts w:ascii="Arial" w:hAnsi="Arial" w:cs="Arial"/>
                                <w:sz w:val="22"/>
                                <w:szCs w:val="22"/>
                                <w:lang w:val="es-ES"/>
                              </w:rPr>
                            </w:pPr>
                            <w:r w:rsidRPr="00FF4ADD">
                              <w:rPr>
                                <w:rFonts w:ascii="Arial" w:hAnsi="Arial" w:cs="Arial"/>
                                <w:sz w:val="22"/>
                                <w:szCs w:val="22"/>
                                <w:lang w:val="es-ES"/>
                              </w:rPr>
                              <w:t xml:space="preserve">La </w:t>
                            </w:r>
                            <w:r>
                              <w:rPr>
                                <w:rFonts w:ascii="Arial" w:hAnsi="Arial" w:cs="Arial"/>
                                <w:sz w:val="22"/>
                                <w:szCs w:val="22"/>
                                <w:lang w:val="es-ES"/>
                              </w:rPr>
                              <w:t>I</w:t>
                            </w:r>
                            <w:r w:rsidRPr="00FF4ADD">
                              <w:rPr>
                                <w:rFonts w:ascii="Arial" w:hAnsi="Arial" w:cs="Arial"/>
                                <w:sz w:val="22"/>
                                <w:szCs w:val="22"/>
                                <w:lang w:val="es-ES"/>
                              </w:rPr>
                              <w:t xml:space="preserve">mpostergable </w:t>
                            </w:r>
                            <w:r>
                              <w:rPr>
                                <w:rFonts w:ascii="Arial" w:hAnsi="Arial" w:cs="Arial"/>
                                <w:sz w:val="22"/>
                                <w:szCs w:val="22"/>
                                <w:lang w:val="es-ES"/>
                              </w:rPr>
                              <w:t>A</w:t>
                            </w:r>
                            <w:r w:rsidRPr="00FF4ADD">
                              <w:rPr>
                                <w:rFonts w:ascii="Arial" w:hAnsi="Arial" w:cs="Arial"/>
                                <w:sz w:val="22"/>
                                <w:szCs w:val="22"/>
                                <w:lang w:val="es-ES"/>
                              </w:rPr>
                              <w:t xml:space="preserve">ctualización Y </w:t>
                            </w:r>
                            <w:r>
                              <w:rPr>
                                <w:rFonts w:ascii="Arial" w:hAnsi="Arial" w:cs="Arial"/>
                                <w:sz w:val="22"/>
                                <w:szCs w:val="22"/>
                                <w:lang w:val="es-ES"/>
                              </w:rPr>
                              <w:t>R</w:t>
                            </w:r>
                            <w:r w:rsidRPr="00FF4ADD">
                              <w:rPr>
                                <w:rFonts w:ascii="Arial" w:hAnsi="Arial" w:cs="Arial"/>
                                <w:sz w:val="22"/>
                                <w:szCs w:val="22"/>
                                <w:lang w:val="es-ES"/>
                              </w:rPr>
                              <w:t xml:space="preserve">evisión De Las </w:t>
                            </w:r>
                            <w:r>
                              <w:rPr>
                                <w:rFonts w:ascii="Arial" w:hAnsi="Arial" w:cs="Arial"/>
                                <w:sz w:val="22"/>
                                <w:szCs w:val="22"/>
                                <w:lang w:val="es-ES"/>
                              </w:rPr>
                              <w:t>O</w:t>
                            </w:r>
                            <w:r w:rsidRPr="00FF4ADD">
                              <w:rPr>
                                <w:rFonts w:ascii="Arial" w:hAnsi="Arial" w:cs="Arial"/>
                                <w:sz w:val="22"/>
                                <w:szCs w:val="22"/>
                                <w:lang w:val="es-ES"/>
                              </w:rPr>
                              <w:t xml:space="preserve">bras De </w:t>
                            </w:r>
                            <w:r>
                              <w:rPr>
                                <w:rFonts w:ascii="Arial" w:hAnsi="Arial" w:cs="Arial"/>
                                <w:sz w:val="22"/>
                                <w:szCs w:val="22"/>
                                <w:lang w:val="es-ES"/>
                              </w:rPr>
                              <w:t>E</w:t>
                            </w:r>
                            <w:r w:rsidRPr="00FF4ADD">
                              <w:rPr>
                                <w:rFonts w:ascii="Arial" w:hAnsi="Arial" w:cs="Arial"/>
                                <w:sz w:val="22"/>
                                <w:szCs w:val="22"/>
                                <w:lang w:val="es-ES"/>
                              </w:rPr>
                              <w:t>xcedencias En Los Embalses: Un Imperativo De Seguridad Ingenieril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5.5pt;margin-top:9.7pt;width:492.75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" fillcolor="white [3201]" strokeweight=".5pt">
                <v:textbox>
                  <w:txbxContent>
                    <w:p w14:paraId="1829B260" w14:textId="7ED89D1D" w:rsidR="009C1F31" w:rsidRDefault="009C1F31" w:rsidP="009C1F31">
                      <w:pPr>
                        <w:jc w:val="both"/>
                        <w:rPr>
                          <w:rFonts w:ascii="Arial" w:hAnsi="Arial" w:cs="Arial"/>
                          <w:sz w:val="22"/>
                          <w:szCs w:val="22"/>
                        </w:rPr>
                      </w:pPr>
                      <w:r w:rsidRPr="009C1F31">
                        <w:rPr>
                          <w:rFonts w:ascii="Arial" w:hAnsi="Arial" w:cs="Arial"/>
                          <w:sz w:val="22"/>
                          <w:szCs w:val="22"/>
                        </w:rPr>
                        <w:t xml:space="preserve">The </w:t>
                      </w:r>
                      <w:proofErr w:type="spellStart"/>
                      <w:r w:rsidRPr="009C1F31">
                        <w:rPr>
                          <w:rFonts w:ascii="Arial" w:hAnsi="Arial" w:cs="Arial"/>
                          <w:sz w:val="22"/>
                          <w:szCs w:val="22"/>
                        </w:rPr>
                        <w:t>Unergent</w:t>
                      </w:r>
                      <w:proofErr w:type="spellEnd"/>
                      <w:r w:rsidRPr="009C1F31">
                        <w:rPr>
                          <w:rFonts w:ascii="Arial" w:hAnsi="Arial" w:cs="Arial"/>
                          <w:sz w:val="22"/>
                          <w:szCs w:val="22"/>
                        </w:rPr>
                        <w:t xml:space="preserve"> Update </w:t>
                      </w:r>
                      <w:proofErr w:type="gramStart"/>
                      <w:r w:rsidRPr="009C1F31">
                        <w:rPr>
                          <w:rFonts w:ascii="Arial" w:hAnsi="Arial" w:cs="Arial"/>
                          <w:sz w:val="22"/>
                          <w:szCs w:val="22"/>
                        </w:rPr>
                        <w:t>And</w:t>
                      </w:r>
                      <w:proofErr w:type="gramEnd"/>
                      <w:r w:rsidRPr="009C1F31">
                        <w:rPr>
                          <w:rFonts w:ascii="Arial" w:hAnsi="Arial" w:cs="Arial"/>
                          <w:sz w:val="22"/>
                          <w:szCs w:val="22"/>
                        </w:rPr>
                        <w:t xml:space="preserve"> R</w:t>
                      </w:r>
                      <w:r>
                        <w:rPr>
                          <w:rFonts w:ascii="Arial" w:hAnsi="Arial" w:cs="Arial"/>
                          <w:sz w:val="22"/>
                          <w:szCs w:val="22"/>
                        </w:rPr>
                        <w:t xml:space="preserve">eview </w:t>
                      </w:r>
                      <w:proofErr w:type="gramStart"/>
                      <w:r>
                        <w:rPr>
                          <w:rFonts w:ascii="Arial" w:hAnsi="Arial" w:cs="Arial"/>
                          <w:sz w:val="22"/>
                          <w:szCs w:val="22"/>
                        </w:rPr>
                        <w:t>Of</w:t>
                      </w:r>
                      <w:proofErr w:type="gramEnd"/>
                      <w:r>
                        <w:rPr>
                          <w:rFonts w:ascii="Arial" w:hAnsi="Arial" w:cs="Arial"/>
                          <w:sz w:val="22"/>
                          <w:szCs w:val="22"/>
                        </w:rPr>
                        <w:t xml:space="preserve"> Spillway Works </w:t>
                      </w:r>
                      <w:proofErr w:type="gramStart"/>
                      <w:r>
                        <w:rPr>
                          <w:rFonts w:ascii="Arial" w:hAnsi="Arial" w:cs="Arial"/>
                          <w:sz w:val="22"/>
                          <w:szCs w:val="22"/>
                        </w:rPr>
                        <w:t>In</w:t>
                      </w:r>
                      <w:proofErr w:type="gramEnd"/>
                      <w:r>
                        <w:rPr>
                          <w:rFonts w:ascii="Arial" w:hAnsi="Arial" w:cs="Arial"/>
                          <w:sz w:val="22"/>
                          <w:szCs w:val="22"/>
                        </w:rPr>
                        <w:t xml:space="preserve"> Reservoirs: An Imperative </w:t>
                      </w:r>
                      <w:proofErr w:type="gramStart"/>
                      <w:r>
                        <w:rPr>
                          <w:rFonts w:ascii="Arial" w:hAnsi="Arial" w:cs="Arial"/>
                          <w:sz w:val="22"/>
                          <w:szCs w:val="22"/>
                        </w:rPr>
                        <w:t>For</w:t>
                      </w:r>
                      <w:proofErr w:type="gramEnd"/>
                      <w:r>
                        <w:rPr>
                          <w:rFonts w:ascii="Arial" w:hAnsi="Arial" w:cs="Arial"/>
                          <w:sz w:val="22"/>
                          <w:szCs w:val="22"/>
                        </w:rPr>
                        <w:t xml:space="preserve"> Engineering Safety.</w:t>
                      </w:r>
                    </w:p>
                    <w:p w14:paraId="2BA1D47A" w14:textId="77777777" w:rsidR="009C1F31" w:rsidRPr="009C1F31" w:rsidRDefault="009C1F31" w:rsidP="009C1F31">
                      <w:pPr>
                        <w:jc w:val="both"/>
                        <w:rPr>
                          <w:rFonts w:ascii="Arial" w:hAnsi="Arial" w:cs="Arial"/>
                          <w:sz w:val="22"/>
                          <w:szCs w:val="22"/>
                        </w:rPr>
                      </w:pPr>
                    </w:p>
                    <w:p w14:paraId="38A50B74" w14:textId="055E9293" w:rsidR="006C6E71" w:rsidRPr="00FF4ADD" w:rsidRDefault="00FF4ADD" w:rsidP="009C1F31">
                      <w:pPr>
                        <w:jc w:val="both"/>
                        <w:rPr>
                          <w:rFonts w:ascii="Arial" w:hAnsi="Arial" w:cs="Arial"/>
                          <w:sz w:val="22"/>
                          <w:szCs w:val="22"/>
                          <w:lang w:val="es-ES"/>
                        </w:rPr>
                      </w:pPr>
                      <w:r w:rsidRPr="00FF4ADD">
                        <w:rPr>
                          <w:rFonts w:ascii="Arial" w:hAnsi="Arial" w:cs="Arial"/>
                          <w:sz w:val="22"/>
                          <w:szCs w:val="22"/>
                          <w:lang w:val="es-ES"/>
                        </w:rPr>
                        <w:t xml:space="preserve">La </w:t>
                      </w:r>
                      <w:r>
                        <w:rPr>
                          <w:rFonts w:ascii="Arial" w:hAnsi="Arial" w:cs="Arial"/>
                          <w:sz w:val="22"/>
                          <w:szCs w:val="22"/>
                          <w:lang w:val="es-ES"/>
                        </w:rPr>
                        <w:t>I</w:t>
                      </w:r>
                      <w:r w:rsidRPr="00FF4ADD">
                        <w:rPr>
                          <w:rFonts w:ascii="Arial" w:hAnsi="Arial" w:cs="Arial"/>
                          <w:sz w:val="22"/>
                          <w:szCs w:val="22"/>
                          <w:lang w:val="es-ES"/>
                        </w:rPr>
                        <w:t xml:space="preserve">mpostergable </w:t>
                      </w:r>
                      <w:r>
                        <w:rPr>
                          <w:rFonts w:ascii="Arial" w:hAnsi="Arial" w:cs="Arial"/>
                          <w:sz w:val="22"/>
                          <w:szCs w:val="22"/>
                          <w:lang w:val="es-ES"/>
                        </w:rPr>
                        <w:t>A</w:t>
                      </w:r>
                      <w:r w:rsidRPr="00FF4ADD">
                        <w:rPr>
                          <w:rFonts w:ascii="Arial" w:hAnsi="Arial" w:cs="Arial"/>
                          <w:sz w:val="22"/>
                          <w:szCs w:val="22"/>
                          <w:lang w:val="es-ES"/>
                        </w:rPr>
                        <w:t xml:space="preserve">ctualización Y </w:t>
                      </w:r>
                      <w:r>
                        <w:rPr>
                          <w:rFonts w:ascii="Arial" w:hAnsi="Arial" w:cs="Arial"/>
                          <w:sz w:val="22"/>
                          <w:szCs w:val="22"/>
                          <w:lang w:val="es-ES"/>
                        </w:rPr>
                        <w:t>R</w:t>
                      </w:r>
                      <w:r w:rsidRPr="00FF4ADD">
                        <w:rPr>
                          <w:rFonts w:ascii="Arial" w:hAnsi="Arial" w:cs="Arial"/>
                          <w:sz w:val="22"/>
                          <w:szCs w:val="22"/>
                          <w:lang w:val="es-ES"/>
                        </w:rPr>
                        <w:t xml:space="preserve">evisión De Las </w:t>
                      </w:r>
                      <w:r>
                        <w:rPr>
                          <w:rFonts w:ascii="Arial" w:hAnsi="Arial" w:cs="Arial"/>
                          <w:sz w:val="22"/>
                          <w:szCs w:val="22"/>
                          <w:lang w:val="es-ES"/>
                        </w:rPr>
                        <w:t>O</w:t>
                      </w:r>
                      <w:r w:rsidRPr="00FF4ADD">
                        <w:rPr>
                          <w:rFonts w:ascii="Arial" w:hAnsi="Arial" w:cs="Arial"/>
                          <w:sz w:val="22"/>
                          <w:szCs w:val="22"/>
                          <w:lang w:val="es-ES"/>
                        </w:rPr>
                        <w:t xml:space="preserve">bras De </w:t>
                      </w:r>
                      <w:r>
                        <w:rPr>
                          <w:rFonts w:ascii="Arial" w:hAnsi="Arial" w:cs="Arial"/>
                          <w:sz w:val="22"/>
                          <w:szCs w:val="22"/>
                          <w:lang w:val="es-ES"/>
                        </w:rPr>
                        <w:t>E</w:t>
                      </w:r>
                      <w:r w:rsidRPr="00FF4ADD">
                        <w:rPr>
                          <w:rFonts w:ascii="Arial" w:hAnsi="Arial" w:cs="Arial"/>
                          <w:sz w:val="22"/>
                          <w:szCs w:val="22"/>
                          <w:lang w:val="es-ES"/>
                        </w:rPr>
                        <w:t>xcedencias En Los Embalses: Un Imperativo De Seguridad Ingenieril</w:t>
                      </w:r>
                    </w:p>
                  </w:txbxContent>
                </v:textbox>
              </v:shape>
            </w:pict>
          </mc:Fallback>
        </mc:AlternateContent>
      </w:r>
    </w:p>
    <w:p w14:paraId="3BCE647D" w14:textId="02E2C5B8"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CD663B8" w14:textId="77777777" w:rsidR="009C1F31" w:rsidRDefault="009C1F31" w:rsidP="00BB5948">
      <w:pPr>
        <w:spacing w:line="22" w:lineRule="atLeast"/>
        <w:jc w:val="center"/>
        <w:rPr>
          <w:rFonts w:ascii="Arial" w:hAnsi="Arial" w:cs="Arial"/>
          <w:b/>
          <w:sz w:val="22"/>
          <w:szCs w:val="22"/>
        </w:rPr>
      </w:pPr>
    </w:p>
    <w:p w14:paraId="4B842F51" w14:textId="77777777" w:rsidR="009C1F31" w:rsidRDefault="009C1F31" w:rsidP="00BB5948">
      <w:pPr>
        <w:spacing w:line="22" w:lineRule="atLeast"/>
        <w:jc w:val="center"/>
        <w:rPr>
          <w:rFonts w:ascii="Arial" w:hAnsi="Arial" w:cs="Arial"/>
          <w:b/>
          <w:sz w:val="22"/>
          <w:szCs w:val="22"/>
        </w:rPr>
      </w:pPr>
    </w:p>
    <w:p w14:paraId="78B78A75" w14:textId="77777777" w:rsidR="009C1F31" w:rsidRDefault="009C1F31" w:rsidP="00BB5948">
      <w:pPr>
        <w:spacing w:line="22" w:lineRule="atLeast"/>
        <w:jc w:val="center"/>
        <w:rPr>
          <w:rFonts w:ascii="Arial" w:hAnsi="Arial" w:cs="Arial"/>
          <w:b/>
          <w:sz w:val="22"/>
          <w:szCs w:val="22"/>
        </w:rPr>
      </w:pPr>
    </w:p>
    <w:p w14:paraId="2E5B87BB" w14:textId="7A611034"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FF4ADD"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FF4ADD">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Prrafodelista"/>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Prrafodelista"/>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3803C496">
                <wp:simplePos x="0" y="0"/>
                <wp:positionH relativeFrom="column">
                  <wp:posOffset>74428</wp:posOffset>
                </wp:positionH>
                <wp:positionV relativeFrom="paragraph">
                  <wp:posOffset>63411</wp:posOffset>
                </wp:positionV>
                <wp:extent cx="6229350" cy="595424"/>
                <wp:effectExtent l="0" t="0" r="19050" b="14605"/>
                <wp:wrapNone/>
                <wp:docPr id="790858834" name="Text Box 2"/>
                <wp:cNvGraphicFramePr/>
                <a:graphic xmlns:a="http://schemas.openxmlformats.org/drawingml/2006/main">
                  <a:graphicData uri="http://schemas.microsoft.com/office/word/2010/wordprocessingShape">
                    <wps:wsp>
                      <wps:cNvSpPr txBox="1"/>
                      <wps:spPr>
                        <a:xfrm>
                          <a:off x="0" y="0"/>
                          <a:ext cx="6229350" cy="595424"/>
                        </a:xfrm>
                        <a:prstGeom prst="rect">
                          <a:avLst/>
                        </a:prstGeom>
                        <a:solidFill>
                          <a:schemeClr val="lt1"/>
                        </a:solidFill>
                        <a:ln w="6350">
                          <a:solidFill>
                            <a:prstClr val="black"/>
                          </a:solidFill>
                        </a:ln>
                      </wps:spPr>
                      <wps:txbx>
                        <w:txbxContent>
                          <w:p w14:paraId="10AB2655" w14:textId="77777777" w:rsidR="00E07BFF" w:rsidRDefault="00E07BFF" w:rsidP="00E07BFF">
                            <w:pPr>
                              <w:jc w:val="both"/>
                              <w:rPr>
                                <w:rFonts w:ascii="Arial" w:hAnsi="Arial" w:cs="Arial"/>
                                <w:sz w:val="22"/>
                                <w:szCs w:val="22"/>
                                <w:lang w:val="es-MX"/>
                              </w:rPr>
                            </w:pPr>
                            <w:r>
                              <w:rPr>
                                <w:rFonts w:ascii="Arial" w:hAnsi="Arial" w:cs="Arial"/>
                                <w:sz w:val="22"/>
                                <w:szCs w:val="22"/>
                                <w:lang w:val="es-MX"/>
                              </w:rPr>
                              <w:t>Haydeé Lilián Ruiz Silva,</w:t>
                            </w:r>
                            <w:r w:rsidRPr="00D27ABF">
                              <w:rPr>
                                <w:rFonts w:ascii="Arial" w:hAnsi="Arial" w:cs="Arial"/>
                                <w:sz w:val="22"/>
                                <w:szCs w:val="22"/>
                                <w:lang w:val="es-MX"/>
                              </w:rPr>
                              <w:t xml:space="preserve"> </w:t>
                            </w:r>
                            <w:r>
                              <w:rPr>
                                <w:rFonts w:ascii="Arial" w:hAnsi="Arial" w:cs="Arial"/>
                                <w:sz w:val="22"/>
                                <w:szCs w:val="22"/>
                                <w:lang w:val="es-MX"/>
                              </w:rPr>
                              <w:t xml:space="preserve">Comisión Federal de Electricidad, </w:t>
                            </w:r>
                            <w:r w:rsidRPr="00D27ABF">
                              <w:rPr>
                                <w:rFonts w:ascii="Arial" w:hAnsi="Arial" w:cs="Arial"/>
                                <w:sz w:val="22"/>
                                <w:szCs w:val="22"/>
                                <w:lang w:val="es-MX"/>
                              </w:rPr>
                              <w:t>Av. Rio Mississippi No. 71, Piso 1</w:t>
                            </w:r>
                            <w:r>
                              <w:rPr>
                                <w:rFonts w:ascii="Arial" w:hAnsi="Arial" w:cs="Arial"/>
                                <w:sz w:val="22"/>
                                <w:szCs w:val="22"/>
                                <w:lang w:val="es-MX"/>
                              </w:rPr>
                              <w:t>1</w:t>
                            </w:r>
                            <w:r w:rsidRPr="00D27ABF">
                              <w:rPr>
                                <w:rFonts w:ascii="Arial" w:hAnsi="Arial" w:cs="Arial"/>
                                <w:sz w:val="22"/>
                                <w:szCs w:val="22"/>
                                <w:lang w:val="es-MX"/>
                              </w:rPr>
                              <w:t>, Col. Cuauhtémoc, Cuauhtémoc, C.P. 06500, Ciudad de México Tel. 52 29 44 00 ext. 61</w:t>
                            </w:r>
                            <w:r>
                              <w:rPr>
                                <w:rFonts w:ascii="Arial" w:hAnsi="Arial" w:cs="Arial"/>
                                <w:sz w:val="22"/>
                                <w:szCs w:val="22"/>
                                <w:lang w:val="es-MX"/>
                              </w:rPr>
                              <w:t xml:space="preserve">079, </w:t>
                            </w:r>
                            <w:hyperlink r:id="rId7" w:history="1">
                              <w:r w:rsidRPr="00027BDC">
                                <w:rPr>
                                  <w:rStyle w:val="Hipervnculo"/>
                                  <w:rFonts w:ascii="Arial" w:hAnsi="Arial" w:cs="Arial"/>
                                  <w:sz w:val="22"/>
                                  <w:szCs w:val="22"/>
                                  <w:lang w:val="es-MX"/>
                                </w:rPr>
                                <w:t>haydee.ruizs@cfe.mx</w:t>
                              </w:r>
                            </w:hyperlink>
                          </w:p>
                          <w:p w14:paraId="4C4EE89B" w14:textId="77777777" w:rsidR="00E861D4" w:rsidRDefault="00E861D4" w:rsidP="00E861D4">
                            <w:pPr>
                              <w:jc w:val="both"/>
                              <w:rPr>
                                <w:rFonts w:ascii="Arial" w:hAnsi="Arial" w:cs="Arial"/>
                                <w:sz w:val="22"/>
                                <w:szCs w:val="22"/>
                                <w:lang w:val="es-MX"/>
                              </w:rPr>
                            </w:pPr>
                          </w:p>
                          <w:p w14:paraId="66ED2163" w14:textId="77777777" w:rsidR="00E861D4" w:rsidRDefault="00E861D4" w:rsidP="00E861D4">
                            <w:pPr>
                              <w:jc w:val="both"/>
                              <w:rPr>
                                <w:rFonts w:ascii="Arial" w:hAnsi="Arial" w:cs="Arial"/>
                                <w:sz w:val="22"/>
                                <w:szCs w:val="22"/>
                                <w:lang w:val="es-MX"/>
                              </w:rPr>
                            </w:pPr>
                          </w:p>
                          <w:p w14:paraId="4EA710B9" w14:textId="61097E1E" w:rsidR="00D27ABF" w:rsidRPr="00D27ABF" w:rsidRDefault="00D27ABF" w:rsidP="00E861D4">
                            <w:pPr>
                              <w:jc w:val="both"/>
                              <w:rPr>
                                <w:rFonts w:ascii="Arial" w:hAnsi="Arial" w:cs="Arial"/>
                                <w:sz w:val="22"/>
                                <w:szCs w:val="22"/>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99A2B1" id="_x0000_t202" coordsize="21600,21600" o:spt="202" path="m,l,21600r21600,l21600,xe">
                <v:stroke joinstyle="miter"/>
                <v:path gradientshapeok="t" o:connecttype="rect"/>
              </v:shapetype>
              <v:shape id="Text Box 2" o:spid="_x0000_s1027" type="#_x0000_t202" style="position:absolute;left:0;text-align:left;margin-left:5.85pt;margin-top:5pt;width:490.5pt;height:4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" fillcolor="white [3201]" strokeweight=".5pt">
                <v:textbox>
                  <w:txbxContent>
                    <w:p w14:paraId="10AB2655" w14:textId="77777777" w:rsidR="00E07BFF" w:rsidRDefault="00E07BFF" w:rsidP="00E07BFF">
                      <w:pPr>
                        <w:jc w:val="both"/>
                        <w:rPr>
                          <w:rFonts w:ascii="Arial" w:hAnsi="Arial" w:cs="Arial"/>
                          <w:sz w:val="22"/>
                          <w:szCs w:val="22"/>
                          <w:lang w:val="es-MX"/>
                        </w:rPr>
                      </w:pPr>
                      <w:r>
                        <w:rPr>
                          <w:rFonts w:ascii="Arial" w:hAnsi="Arial" w:cs="Arial"/>
                          <w:sz w:val="22"/>
                          <w:szCs w:val="22"/>
                          <w:lang w:val="es-MX"/>
                        </w:rPr>
                        <w:t>Haydeé Lilián Ruiz Silva,</w:t>
                      </w:r>
                      <w:r w:rsidRPr="00D27ABF">
                        <w:rPr>
                          <w:rFonts w:ascii="Arial" w:hAnsi="Arial" w:cs="Arial"/>
                          <w:sz w:val="22"/>
                          <w:szCs w:val="22"/>
                          <w:lang w:val="es-MX"/>
                        </w:rPr>
                        <w:t xml:space="preserve"> </w:t>
                      </w:r>
                      <w:r>
                        <w:rPr>
                          <w:rFonts w:ascii="Arial" w:hAnsi="Arial" w:cs="Arial"/>
                          <w:sz w:val="22"/>
                          <w:szCs w:val="22"/>
                          <w:lang w:val="es-MX"/>
                        </w:rPr>
                        <w:t xml:space="preserve">Comisión Federal de Electricidad, </w:t>
                      </w:r>
                      <w:r w:rsidRPr="00D27ABF">
                        <w:rPr>
                          <w:rFonts w:ascii="Arial" w:hAnsi="Arial" w:cs="Arial"/>
                          <w:sz w:val="22"/>
                          <w:szCs w:val="22"/>
                          <w:lang w:val="es-MX"/>
                        </w:rPr>
                        <w:t>Av. Rio Mississippi No. 71, Piso 1</w:t>
                      </w:r>
                      <w:r>
                        <w:rPr>
                          <w:rFonts w:ascii="Arial" w:hAnsi="Arial" w:cs="Arial"/>
                          <w:sz w:val="22"/>
                          <w:szCs w:val="22"/>
                          <w:lang w:val="es-MX"/>
                        </w:rPr>
                        <w:t>1</w:t>
                      </w:r>
                      <w:r w:rsidRPr="00D27ABF">
                        <w:rPr>
                          <w:rFonts w:ascii="Arial" w:hAnsi="Arial" w:cs="Arial"/>
                          <w:sz w:val="22"/>
                          <w:szCs w:val="22"/>
                          <w:lang w:val="es-MX"/>
                        </w:rPr>
                        <w:t>, Col. Cuauhtémoc, Cuauhtémoc, C.P. 06500, Ciudad de México Tel. 52 29 44 00 ext. 61</w:t>
                      </w:r>
                      <w:r>
                        <w:rPr>
                          <w:rFonts w:ascii="Arial" w:hAnsi="Arial" w:cs="Arial"/>
                          <w:sz w:val="22"/>
                          <w:szCs w:val="22"/>
                          <w:lang w:val="es-MX"/>
                        </w:rPr>
                        <w:t xml:space="preserve">079, </w:t>
                      </w:r>
                      <w:hyperlink r:id="rId8" w:history="1">
                        <w:r w:rsidRPr="00027BDC">
                          <w:rPr>
                            <w:rStyle w:val="Hipervnculo"/>
                            <w:rFonts w:ascii="Arial" w:hAnsi="Arial" w:cs="Arial"/>
                            <w:sz w:val="22"/>
                            <w:szCs w:val="22"/>
                            <w:lang w:val="es-MX"/>
                          </w:rPr>
                          <w:t>haydee.ruizs@cfe.mx</w:t>
                        </w:r>
                      </w:hyperlink>
                    </w:p>
                    <w:p w14:paraId="4C4EE89B" w14:textId="77777777" w:rsidR="00E861D4" w:rsidRDefault="00E861D4" w:rsidP="00E861D4">
                      <w:pPr>
                        <w:jc w:val="both"/>
                        <w:rPr>
                          <w:rFonts w:ascii="Arial" w:hAnsi="Arial" w:cs="Arial"/>
                          <w:sz w:val="22"/>
                          <w:szCs w:val="22"/>
                          <w:lang w:val="es-MX"/>
                        </w:rPr>
                      </w:pPr>
                    </w:p>
                    <w:p w14:paraId="66ED2163" w14:textId="77777777" w:rsidR="00E861D4" w:rsidRDefault="00E861D4" w:rsidP="00E861D4">
                      <w:pPr>
                        <w:jc w:val="both"/>
                        <w:rPr>
                          <w:rFonts w:ascii="Arial" w:hAnsi="Arial" w:cs="Arial"/>
                          <w:sz w:val="22"/>
                          <w:szCs w:val="22"/>
                          <w:lang w:val="es-MX"/>
                        </w:rPr>
                      </w:pPr>
                    </w:p>
                    <w:p w14:paraId="4EA710B9" w14:textId="61097E1E" w:rsidR="00D27ABF" w:rsidRPr="00D27ABF" w:rsidRDefault="00D27ABF" w:rsidP="00E861D4">
                      <w:pPr>
                        <w:jc w:val="both"/>
                        <w:rPr>
                          <w:rFonts w:ascii="Arial" w:hAnsi="Arial" w:cs="Arial"/>
                          <w:sz w:val="22"/>
                          <w:szCs w:val="22"/>
                          <w:lang w:val="es-MX"/>
                        </w:rPr>
                      </w:pP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13006A85" w14:textId="77777777" w:rsidR="00D27ABF"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16CAB02F" w:rsidR="002C2B73"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Is Primary Author a Young Professional</w:t>
      </w:r>
      <w:r w:rsidR="00B92BA2">
        <w:rPr>
          <w:rFonts w:ascii="Arial" w:hAnsi="Arial" w:cs="Arial"/>
          <w:sz w:val="22"/>
          <w:szCs w:val="22"/>
        </w:rPr>
        <w:t>?</w:t>
      </w:r>
      <w:r>
        <w:rPr>
          <w:rFonts w:ascii="Arial" w:hAnsi="Arial" w:cs="Arial"/>
          <w:sz w:val="22"/>
          <w:szCs w:val="22"/>
        </w:rPr>
        <w:t xml:space="preserve"> YES / </w:t>
      </w:r>
      <w:r w:rsidRPr="00D27ABF">
        <w:rPr>
          <w:rFonts w:ascii="Arial" w:hAnsi="Arial" w:cs="Arial"/>
          <w:b/>
          <w:bCs/>
          <w:sz w:val="22"/>
          <w:szCs w:val="22"/>
        </w:rPr>
        <w:t>NO</w:t>
      </w:r>
      <w:r>
        <w:rPr>
          <w:rFonts w:ascii="Arial" w:hAnsi="Arial" w:cs="Arial"/>
          <w:sz w:val="22"/>
          <w:szCs w:val="22"/>
        </w:rPr>
        <w:t xml:space="preserve"> (Highlight YES </w:t>
      </w:r>
      <w:r w:rsidR="00B92BA2">
        <w:rPr>
          <w:rFonts w:ascii="Arial" w:hAnsi="Arial" w:cs="Arial"/>
          <w:sz w:val="22"/>
          <w:szCs w:val="22"/>
        </w:rPr>
        <w:t xml:space="preserve">in Bold font </w:t>
      </w:r>
      <w:r>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1D348884">
                <wp:simplePos x="0" y="0"/>
                <wp:positionH relativeFrom="column">
                  <wp:posOffset>74428</wp:posOffset>
                </wp:positionH>
                <wp:positionV relativeFrom="paragraph">
                  <wp:posOffset>43445</wp:posOffset>
                </wp:positionV>
                <wp:extent cx="6219825" cy="627321"/>
                <wp:effectExtent l="0" t="0" r="28575" b="20955"/>
                <wp:wrapNone/>
                <wp:docPr id="268742999" name="Text Box 2"/>
                <wp:cNvGraphicFramePr/>
                <a:graphic xmlns:a="http://schemas.openxmlformats.org/drawingml/2006/main">
                  <a:graphicData uri="http://schemas.microsoft.com/office/word/2010/wordprocessingShape">
                    <wps:wsp>
                      <wps:cNvSpPr txBox="1"/>
                      <wps:spPr>
                        <a:xfrm>
                          <a:off x="0" y="0"/>
                          <a:ext cx="6219825" cy="627321"/>
                        </a:xfrm>
                        <a:prstGeom prst="rect">
                          <a:avLst/>
                        </a:prstGeom>
                        <a:solidFill>
                          <a:schemeClr val="lt1"/>
                        </a:solidFill>
                        <a:ln w="6350">
                          <a:solidFill>
                            <a:prstClr val="black"/>
                          </a:solidFill>
                        </a:ln>
                      </wps:spPr>
                      <wps:txbx>
                        <w:txbxContent>
                          <w:p w14:paraId="093A1923" w14:textId="6347639A" w:rsidR="00E07BFF" w:rsidRDefault="00E07BFF" w:rsidP="00E07BFF">
                            <w:pPr>
                              <w:jc w:val="both"/>
                              <w:rPr>
                                <w:rFonts w:ascii="Arial" w:hAnsi="Arial" w:cs="Arial"/>
                                <w:sz w:val="22"/>
                                <w:szCs w:val="22"/>
                                <w:lang w:val="es-MX"/>
                              </w:rPr>
                            </w:pPr>
                            <w:proofErr w:type="spellStart"/>
                            <w:r>
                              <w:rPr>
                                <w:rFonts w:ascii="Arial" w:hAnsi="Arial" w:cs="Arial"/>
                                <w:sz w:val="22"/>
                                <w:szCs w:val="22"/>
                                <w:lang w:val="es-MX"/>
                              </w:rPr>
                              <w:t>Sadoth</w:t>
                            </w:r>
                            <w:proofErr w:type="spellEnd"/>
                            <w:r>
                              <w:rPr>
                                <w:rFonts w:ascii="Arial" w:hAnsi="Arial" w:cs="Arial"/>
                                <w:sz w:val="22"/>
                                <w:szCs w:val="22"/>
                                <w:lang w:val="es-MX"/>
                              </w:rPr>
                              <w:t xml:space="preserve"> Fabian Huerta Loera, Comisión Federal de Electricidad, </w:t>
                            </w:r>
                            <w:r w:rsidRPr="00D27ABF">
                              <w:rPr>
                                <w:rFonts w:ascii="Arial" w:hAnsi="Arial" w:cs="Arial"/>
                                <w:sz w:val="22"/>
                                <w:szCs w:val="22"/>
                                <w:lang w:val="es-MX"/>
                              </w:rPr>
                              <w:t>Av. Rio Mississippi No. 71, Piso 1</w:t>
                            </w:r>
                            <w:r>
                              <w:rPr>
                                <w:rFonts w:ascii="Arial" w:hAnsi="Arial" w:cs="Arial"/>
                                <w:sz w:val="22"/>
                                <w:szCs w:val="22"/>
                                <w:lang w:val="es-MX"/>
                              </w:rPr>
                              <w:t>0</w:t>
                            </w:r>
                            <w:r w:rsidRPr="00D27ABF">
                              <w:rPr>
                                <w:rFonts w:ascii="Arial" w:hAnsi="Arial" w:cs="Arial"/>
                                <w:sz w:val="22"/>
                                <w:szCs w:val="22"/>
                                <w:lang w:val="es-MX"/>
                              </w:rPr>
                              <w:t>, Col. Cuauhtémoc, Cuauhtémoc, C.P. 06500, Ciudad de México Tel. 52 29 44 00 ext. 61</w:t>
                            </w:r>
                            <w:r>
                              <w:rPr>
                                <w:rFonts w:ascii="Arial" w:hAnsi="Arial" w:cs="Arial"/>
                                <w:sz w:val="22"/>
                                <w:szCs w:val="22"/>
                                <w:lang w:val="es-MX"/>
                              </w:rPr>
                              <w:t>11</w:t>
                            </w:r>
                            <w:r w:rsidRPr="00D27ABF">
                              <w:rPr>
                                <w:rFonts w:ascii="Arial" w:hAnsi="Arial" w:cs="Arial"/>
                                <w:sz w:val="22"/>
                                <w:szCs w:val="22"/>
                                <w:lang w:val="es-MX"/>
                              </w:rPr>
                              <w:t>0</w:t>
                            </w:r>
                            <w:r>
                              <w:rPr>
                                <w:rFonts w:ascii="Arial" w:hAnsi="Arial" w:cs="Arial"/>
                                <w:sz w:val="22"/>
                                <w:szCs w:val="22"/>
                                <w:lang w:val="es-MX"/>
                              </w:rPr>
                              <w:t>,</w:t>
                            </w:r>
                            <w:r w:rsidRPr="00E07BFF">
                              <w:rPr>
                                <w:lang w:val="es-ES"/>
                              </w:rPr>
                              <w:t xml:space="preserve"> </w:t>
                            </w:r>
                            <w:hyperlink r:id="rId9" w:history="1">
                              <w:r w:rsidRPr="00027BDC">
                                <w:rPr>
                                  <w:rStyle w:val="Hipervnculo"/>
                                  <w:rFonts w:ascii="Arial" w:hAnsi="Arial" w:cs="Arial"/>
                                  <w:sz w:val="22"/>
                                  <w:szCs w:val="22"/>
                                  <w:lang w:val="es-MX"/>
                                </w:rPr>
                                <w:t>sadoth.huerta@cfe.mx</w:t>
                              </w:r>
                            </w:hyperlink>
                          </w:p>
                          <w:p w14:paraId="4BF444D3" w14:textId="14E2FE6D" w:rsidR="002C2B73" w:rsidRPr="004E502B" w:rsidRDefault="002C2B73" w:rsidP="002C2B73">
                            <w:pPr>
                              <w:rPr>
                                <w:rFonts w:ascii="Arial" w:hAnsi="Arial" w:cs="Arial"/>
                                <w:sz w:val="22"/>
                                <w:szCs w:val="22"/>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5.85pt;margin-top:3.4pt;width:489.75pt;height:49.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" fillcolor="white [3201]" strokeweight=".5pt">
                <v:textbox>
                  <w:txbxContent>
                    <w:p w14:paraId="093A1923" w14:textId="6347639A" w:rsidR="00E07BFF" w:rsidRDefault="00E07BFF" w:rsidP="00E07BFF">
                      <w:pPr>
                        <w:jc w:val="both"/>
                        <w:rPr>
                          <w:rFonts w:ascii="Arial" w:hAnsi="Arial" w:cs="Arial"/>
                          <w:sz w:val="22"/>
                          <w:szCs w:val="22"/>
                          <w:lang w:val="es-MX"/>
                        </w:rPr>
                      </w:pPr>
                      <w:proofErr w:type="spellStart"/>
                      <w:r>
                        <w:rPr>
                          <w:rFonts w:ascii="Arial" w:hAnsi="Arial" w:cs="Arial"/>
                          <w:sz w:val="22"/>
                          <w:szCs w:val="22"/>
                          <w:lang w:val="es-MX"/>
                        </w:rPr>
                        <w:t>Sadoth</w:t>
                      </w:r>
                      <w:proofErr w:type="spellEnd"/>
                      <w:r>
                        <w:rPr>
                          <w:rFonts w:ascii="Arial" w:hAnsi="Arial" w:cs="Arial"/>
                          <w:sz w:val="22"/>
                          <w:szCs w:val="22"/>
                          <w:lang w:val="es-MX"/>
                        </w:rPr>
                        <w:t xml:space="preserve"> Fabian Huerta Loera, Comisión Federal de Electricidad, </w:t>
                      </w:r>
                      <w:r w:rsidRPr="00D27ABF">
                        <w:rPr>
                          <w:rFonts w:ascii="Arial" w:hAnsi="Arial" w:cs="Arial"/>
                          <w:sz w:val="22"/>
                          <w:szCs w:val="22"/>
                          <w:lang w:val="es-MX"/>
                        </w:rPr>
                        <w:t>Av. Rio Mississippi No. 71, Piso 1</w:t>
                      </w:r>
                      <w:r>
                        <w:rPr>
                          <w:rFonts w:ascii="Arial" w:hAnsi="Arial" w:cs="Arial"/>
                          <w:sz w:val="22"/>
                          <w:szCs w:val="22"/>
                          <w:lang w:val="es-MX"/>
                        </w:rPr>
                        <w:t>0</w:t>
                      </w:r>
                      <w:r w:rsidRPr="00D27ABF">
                        <w:rPr>
                          <w:rFonts w:ascii="Arial" w:hAnsi="Arial" w:cs="Arial"/>
                          <w:sz w:val="22"/>
                          <w:szCs w:val="22"/>
                          <w:lang w:val="es-MX"/>
                        </w:rPr>
                        <w:t>, Col. Cuauhtémoc, Cuauhtémoc, C.P. 06500, Ciudad de México Tel. 52 29 44 00 ext. 61</w:t>
                      </w:r>
                      <w:r>
                        <w:rPr>
                          <w:rFonts w:ascii="Arial" w:hAnsi="Arial" w:cs="Arial"/>
                          <w:sz w:val="22"/>
                          <w:szCs w:val="22"/>
                          <w:lang w:val="es-MX"/>
                        </w:rPr>
                        <w:t>11</w:t>
                      </w:r>
                      <w:r w:rsidRPr="00D27ABF">
                        <w:rPr>
                          <w:rFonts w:ascii="Arial" w:hAnsi="Arial" w:cs="Arial"/>
                          <w:sz w:val="22"/>
                          <w:szCs w:val="22"/>
                          <w:lang w:val="es-MX"/>
                        </w:rPr>
                        <w:t>0</w:t>
                      </w:r>
                      <w:r>
                        <w:rPr>
                          <w:rFonts w:ascii="Arial" w:hAnsi="Arial" w:cs="Arial"/>
                          <w:sz w:val="22"/>
                          <w:szCs w:val="22"/>
                          <w:lang w:val="es-MX"/>
                        </w:rPr>
                        <w:t>,</w:t>
                      </w:r>
                      <w:r w:rsidRPr="00E07BFF">
                        <w:rPr>
                          <w:lang w:val="es-ES"/>
                        </w:rPr>
                        <w:t xml:space="preserve"> </w:t>
                      </w:r>
                      <w:hyperlink r:id="rId10" w:history="1">
                        <w:r w:rsidRPr="00027BDC">
                          <w:rPr>
                            <w:rStyle w:val="Hipervnculo"/>
                            <w:rFonts w:ascii="Arial" w:hAnsi="Arial" w:cs="Arial"/>
                            <w:sz w:val="22"/>
                            <w:szCs w:val="22"/>
                            <w:lang w:val="es-MX"/>
                          </w:rPr>
                          <w:t>sadoth.huerta@cfe.mx</w:t>
                        </w:r>
                      </w:hyperlink>
                    </w:p>
                    <w:p w14:paraId="4BF444D3" w14:textId="14E2FE6D" w:rsidR="002C2B73" w:rsidRPr="004E502B" w:rsidRDefault="002C2B73" w:rsidP="002C2B73">
                      <w:pPr>
                        <w:rPr>
                          <w:rFonts w:ascii="Arial" w:hAnsi="Arial" w:cs="Arial"/>
                          <w:sz w:val="22"/>
                          <w:szCs w:val="22"/>
                          <w:lang w:val="es-MX"/>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55868AA1" w14:textId="77777777" w:rsidR="004E502B"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1B822D27" w14:textId="34E1CD1C"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042AA6D1">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E07BFF" w:rsidRDefault="002C2B73" w:rsidP="002C2B73">
                            <w:pPr>
                              <w:rPr>
                                <w:rFonts w:ascii="Arial" w:hAnsi="Arial" w:cs="Arial"/>
                                <w:sz w:val="22"/>
                                <w:szCs w:val="22"/>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E07BFF" w:rsidRDefault="002C2B73" w:rsidP="002C2B73">
                      <w:pPr>
                        <w:rPr>
                          <w:rFonts w:ascii="Arial" w:hAnsi="Arial" w:cs="Arial"/>
                          <w:sz w:val="22"/>
                          <w:szCs w:val="22"/>
                          <w:lang w:val="es-MX"/>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E07BFF" w:rsidRDefault="003B2EAF" w:rsidP="003B2EAF">
      <w:pPr>
        <w:ind w:left="144" w:right="144"/>
        <w:rPr>
          <w:rFonts w:ascii="Arial" w:hAnsi="Arial" w:cs="Arial"/>
          <w:b/>
          <w:sz w:val="22"/>
          <w:szCs w:val="22"/>
        </w:rPr>
      </w:pPr>
      <w:r w:rsidRPr="00E07BFF">
        <w:rPr>
          <w:rFonts w:ascii="Arial" w:hAnsi="Arial" w:cs="Arial"/>
          <w:b/>
          <w:sz w:val="22"/>
          <w:szCs w:val="22"/>
        </w:rPr>
        <w:lastRenderedPageBreak/>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5A4EA726" w14:textId="77777777" w:rsidR="007B1B16" w:rsidRDefault="003B2EAF" w:rsidP="003B2EAF">
      <w:pPr>
        <w:ind w:left="144" w:right="144"/>
        <w:rPr>
          <w:rFonts w:ascii="Arial" w:hAnsi="Arial" w:cs="Arial"/>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p>
    <w:p w14:paraId="4429F2BB" w14:textId="77777777" w:rsidR="007B1B16" w:rsidRDefault="007B1B16" w:rsidP="003B2EAF">
      <w:pPr>
        <w:ind w:left="144" w:right="144"/>
        <w:rPr>
          <w:rFonts w:ascii="Arial" w:hAnsi="Arial" w:cs="Arial"/>
          <w:sz w:val="22"/>
          <w:szCs w:val="22"/>
        </w:rPr>
      </w:pPr>
    </w:p>
    <w:p w14:paraId="15EC503F" w14:textId="77777777" w:rsidR="00BD7066" w:rsidRPr="009C1F31"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11443BD7">
                <wp:simplePos x="0" y="0"/>
                <wp:positionH relativeFrom="column">
                  <wp:posOffset>10633</wp:posOffset>
                </wp:positionH>
                <wp:positionV relativeFrom="paragraph">
                  <wp:posOffset>119853</wp:posOffset>
                </wp:positionV>
                <wp:extent cx="6315075" cy="3402418"/>
                <wp:effectExtent l="0" t="0" r="28575" b="26670"/>
                <wp:wrapNone/>
                <wp:docPr id="1044111714" name="Text Box 2"/>
                <wp:cNvGraphicFramePr/>
                <a:graphic xmlns:a="http://schemas.openxmlformats.org/drawingml/2006/main">
                  <a:graphicData uri="http://schemas.microsoft.com/office/word/2010/wordprocessingShape">
                    <wps:wsp>
                      <wps:cNvSpPr txBox="1"/>
                      <wps:spPr>
                        <a:xfrm>
                          <a:off x="0" y="0"/>
                          <a:ext cx="6315075" cy="3402418"/>
                        </a:xfrm>
                        <a:prstGeom prst="rect">
                          <a:avLst/>
                        </a:prstGeom>
                        <a:solidFill>
                          <a:schemeClr val="lt1"/>
                        </a:solidFill>
                        <a:ln w="6350">
                          <a:solidFill>
                            <a:prstClr val="black"/>
                          </a:solidFill>
                        </a:ln>
                      </wps:spPr>
                      <wps:txbx>
                        <w:txbxContent>
                          <w:p w14:paraId="640AD551" w14:textId="77777777" w:rsidR="00760F6A" w:rsidRPr="00760F6A" w:rsidRDefault="00760F6A" w:rsidP="002C452F">
                            <w:pPr>
                              <w:jc w:val="both"/>
                              <w:rPr>
                                <w:rFonts w:ascii="Arial" w:hAnsi="Arial" w:cs="Arial"/>
                                <w:sz w:val="22"/>
                                <w:szCs w:val="22"/>
                              </w:rPr>
                            </w:pPr>
                            <w:r w:rsidRPr="00760F6A">
                              <w:rPr>
                                <w:rFonts w:ascii="Arial" w:hAnsi="Arial" w:cs="Arial"/>
                                <w:sz w:val="22"/>
                                <w:szCs w:val="22"/>
                              </w:rPr>
                              <w:t>Spillway structures, commonly referred to as spillways, represent the critical component in reservoir safety. Their function lies in safeguarding the integrity of the dam and the downstream communities and infrastructure through the controlled evacuation of excess flows entering the reservoir. This function of relieving excess water is not static, and its effectiveness is intrinsically linked to the continuous review and updating of design and capacity—a process that goes beyond routine maintenance and becomes an imperative of hydraulic engineering.</w:t>
                            </w:r>
                          </w:p>
                          <w:p w14:paraId="0EA66550" w14:textId="77777777" w:rsidR="00760F6A" w:rsidRPr="00760F6A" w:rsidRDefault="00760F6A" w:rsidP="002C452F">
                            <w:pPr>
                              <w:jc w:val="both"/>
                              <w:rPr>
                                <w:rFonts w:ascii="Arial" w:hAnsi="Arial" w:cs="Arial"/>
                                <w:sz w:val="22"/>
                                <w:szCs w:val="22"/>
                              </w:rPr>
                            </w:pPr>
                            <w:r w:rsidRPr="00760F6A">
                              <w:rPr>
                                <w:rFonts w:ascii="Arial" w:hAnsi="Arial" w:cs="Arial"/>
                                <w:sz w:val="22"/>
                                <w:szCs w:val="22"/>
                              </w:rPr>
                              <w:t>Throughout the history of dam engineering, numerous catastrophic failures have been linked to the inadequacy or deterioration of spillway structures. Added to this is the dynamic nature of hydrological phenomena: climate change has induced a modification in precipitation patterns, resulting in more frequent and intense extreme events. These new design flood scenarios, which exceed the initial projections of works designed in the 20th century, require a thorough reassessment of spillway capacity to mitigate the risk of uncontrolled overflow.</w:t>
                            </w:r>
                          </w:p>
                          <w:p w14:paraId="20895C38" w14:textId="77777777" w:rsidR="00760F6A" w:rsidRPr="00760F6A" w:rsidRDefault="00760F6A" w:rsidP="002C452F">
                            <w:pPr>
                              <w:jc w:val="both"/>
                              <w:rPr>
                                <w:rFonts w:ascii="Arial" w:hAnsi="Arial" w:cs="Arial"/>
                                <w:sz w:val="22"/>
                                <w:szCs w:val="22"/>
                              </w:rPr>
                            </w:pPr>
                            <w:r w:rsidRPr="00760F6A">
                              <w:rPr>
                                <w:rFonts w:ascii="Arial" w:hAnsi="Arial" w:cs="Arial"/>
                                <w:sz w:val="22"/>
                                <w:szCs w:val="22"/>
                              </w:rPr>
                              <w:t>In addition to hydrological changes, the longevity of structures imposes challenges related to material deterioration and fatigue due to prolonged exposure to water forces (operation), cavitation, and erosion processes during discharge. Experience has shown that spillway failures are often progressive, and early detection is essential to avoid tragic consequences.</w:t>
                            </w:r>
                          </w:p>
                          <w:p w14:paraId="0276FFFB" w14:textId="50A3A5FC" w:rsidR="00760F6A" w:rsidRPr="00760F6A" w:rsidRDefault="00760F6A" w:rsidP="002C452F">
                            <w:pPr>
                              <w:jc w:val="both"/>
                              <w:rPr>
                                <w:rFonts w:ascii="Arial" w:hAnsi="Arial" w:cs="Arial"/>
                                <w:sz w:val="22"/>
                                <w:szCs w:val="22"/>
                              </w:rPr>
                            </w:pPr>
                            <w:r w:rsidRPr="00760F6A">
                              <w:rPr>
                                <w:rFonts w:ascii="Arial" w:hAnsi="Arial" w:cs="Arial"/>
                                <w:sz w:val="22"/>
                                <w:szCs w:val="22"/>
                              </w:rPr>
                              <w:t>The upgrading of spillway structures may also respond to operational optimization objectives, such as increasing storage capacity or improving discharge efficiency. Modernization, driven by technological evolution, improved hydraulic modeling, and a deeper understanding of geological risks, enables the implementation of more advanced and safer engineering solutions.</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85pt;margin-top:9.45pt;width:497.25pt;height:267.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" fillcolor="white [3201]" strokeweight=".5pt">
                <v:textbox>
                  <w:txbxContent>
                    <w:p w14:paraId="640AD551" w14:textId="77777777" w:rsidR="00760F6A" w:rsidRPr="00760F6A" w:rsidRDefault="00760F6A" w:rsidP="002C452F">
                      <w:pPr>
                        <w:jc w:val="both"/>
                        <w:rPr>
                          <w:rFonts w:ascii="Arial" w:hAnsi="Arial" w:cs="Arial"/>
                          <w:sz w:val="22"/>
                          <w:szCs w:val="22"/>
                        </w:rPr>
                      </w:pPr>
                      <w:r w:rsidRPr="00760F6A">
                        <w:rPr>
                          <w:rFonts w:ascii="Arial" w:hAnsi="Arial" w:cs="Arial"/>
                          <w:sz w:val="22"/>
                          <w:szCs w:val="22"/>
                        </w:rPr>
                        <w:t>Spillway structures, commonly referred to as spillways, represent the critical component in reservoir safety. Their function lies in safeguarding the integrity of the dam and the downstream communities and infrastructure through the controlled evacuation of excess flows entering the reservoir. This function of relieving excess water is not static, and its effectiveness is intrinsically linked to the continuous review and updating of design and capacity—a process that goes beyond routine maintenance and becomes an imperative of hydraulic engineering.</w:t>
                      </w:r>
                    </w:p>
                    <w:p w14:paraId="0EA66550" w14:textId="77777777" w:rsidR="00760F6A" w:rsidRPr="00760F6A" w:rsidRDefault="00760F6A" w:rsidP="002C452F">
                      <w:pPr>
                        <w:jc w:val="both"/>
                        <w:rPr>
                          <w:rFonts w:ascii="Arial" w:hAnsi="Arial" w:cs="Arial"/>
                          <w:sz w:val="22"/>
                          <w:szCs w:val="22"/>
                        </w:rPr>
                      </w:pPr>
                      <w:r w:rsidRPr="00760F6A">
                        <w:rPr>
                          <w:rFonts w:ascii="Arial" w:hAnsi="Arial" w:cs="Arial"/>
                          <w:sz w:val="22"/>
                          <w:szCs w:val="22"/>
                        </w:rPr>
                        <w:t>Throughout the history of dam engineering, numerous catastrophic failures have been linked to the inadequacy or deterioration of spillway structures. Added to this is the dynamic nature of hydrological phenomena: climate change has induced a modification in precipitation patterns, resulting in more frequent and intense extreme events. These new design flood scenarios, which exceed the initial projections of works designed in the 20th century, require a thorough reassessment of spillway capacity to mitigate the risk of uncontrolled overflow.</w:t>
                      </w:r>
                    </w:p>
                    <w:p w14:paraId="20895C38" w14:textId="77777777" w:rsidR="00760F6A" w:rsidRPr="00760F6A" w:rsidRDefault="00760F6A" w:rsidP="002C452F">
                      <w:pPr>
                        <w:jc w:val="both"/>
                        <w:rPr>
                          <w:rFonts w:ascii="Arial" w:hAnsi="Arial" w:cs="Arial"/>
                          <w:sz w:val="22"/>
                          <w:szCs w:val="22"/>
                        </w:rPr>
                      </w:pPr>
                      <w:r w:rsidRPr="00760F6A">
                        <w:rPr>
                          <w:rFonts w:ascii="Arial" w:hAnsi="Arial" w:cs="Arial"/>
                          <w:sz w:val="22"/>
                          <w:szCs w:val="22"/>
                        </w:rPr>
                        <w:t>In addition to hydrological changes, the longevity of structures imposes challenges related to material deterioration and fatigue due to prolonged exposure to water forces (operation), cavitation, and erosion processes during discharge. Experience has shown that spillway failures are often progressive, and early detection is essential to avoid tragic consequences.</w:t>
                      </w:r>
                    </w:p>
                    <w:p w14:paraId="0276FFFB" w14:textId="50A3A5FC" w:rsidR="00760F6A" w:rsidRPr="00760F6A" w:rsidRDefault="00760F6A" w:rsidP="002C452F">
                      <w:pPr>
                        <w:jc w:val="both"/>
                        <w:rPr>
                          <w:rFonts w:ascii="Arial" w:hAnsi="Arial" w:cs="Arial"/>
                          <w:sz w:val="22"/>
                          <w:szCs w:val="22"/>
                        </w:rPr>
                      </w:pPr>
                      <w:r w:rsidRPr="00760F6A">
                        <w:rPr>
                          <w:rFonts w:ascii="Arial" w:hAnsi="Arial" w:cs="Arial"/>
                          <w:sz w:val="22"/>
                          <w:szCs w:val="22"/>
                        </w:rPr>
                        <w:t>The upgrading of spillway structures may also respond to operational optimization objectives, such as increasing storage capacity or improving discharge efficiency. Modernization, driven by technological evolution, improved hydraulic modeling, and a deeper understanding of geological risks, enables the implementation of more advanced and safer engineering solutions.</w:t>
                      </w:r>
                    </w:p>
                    <w:p w14:paraId="3A2929C4" w14:textId="02440B93" w:rsidR="006C6E71" w:rsidRPr="006C6E71" w:rsidRDefault="006C6E71" w:rsidP="008D4F02">
                      <w:pPr>
                        <w:rPr>
                          <w:rFonts w:ascii="Arial" w:hAnsi="Arial" w:cs="Arial"/>
                          <w:sz w:val="22"/>
                          <w:szCs w:val="22"/>
                        </w:rPr>
                      </w:pP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Textonotapie"/>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4EC96843">
                <wp:simplePos x="0" y="0"/>
                <wp:positionH relativeFrom="column">
                  <wp:posOffset>21265</wp:posOffset>
                </wp:positionH>
                <wp:positionV relativeFrom="paragraph">
                  <wp:posOffset>73276</wp:posOffset>
                </wp:positionV>
                <wp:extent cx="6324600" cy="4359349"/>
                <wp:effectExtent l="0" t="0" r="19050" b="22225"/>
                <wp:wrapNone/>
                <wp:docPr id="1579740844" name="Text Box 2"/>
                <wp:cNvGraphicFramePr/>
                <a:graphic xmlns:a="http://schemas.openxmlformats.org/drawingml/2006/main">
                  <a:graphicData uri="http://schemas.microsoft.com/office/word/2010/wordprocessingShape">
                    <wps:wsp>
                      <wps:cNvSpPr txBox="1"/>
                      <wps:spPr>
                        <a:xfrm>
                          <a:off x="0" y="0"/>
                          <a:ext cx="6324600" cy="4359349"/>
                        </a:xfrm>
                        <a:prstGeom prst="rect">
                          <a:avLst/>
                        </a:prstGeom>
                        <a:solidFill>
                          <a:schemeClr val="lt1"/>
                        </a:solidFill>
                        <a:ln w="6350">
                          <a:solidFill>
                            <a:prstClr val="black"/>
                          </a:solidFill>
                        </a:ln>
                      </wps:spPr>
                      <wps:txbx>
                        <w:txbxContent>
                          <w:p w14:paraId="5E4D67BC" w14:textId="77777777" w:rsidR="002C452F" w:rsidRPr="002C452F" w:rsidRDefault="002C452F" w:rsidP="002C452F">
                            <w:pPr>
                              <w:jc w:val="both"/>
                              <w:rPr>
                                <w:lang w:val="es-ES"/>
                              </w:rPr>
                            </w:pPr>
                            <w:r w:rsidRPr="002C452F">
                              <w:rPr>
                                <w:lang w:val="es-ES"/>
                              </w:rPr>
                              <w:t>Las obras de excedencias, comúnmente denominadas vertederos, representan el componente crítico en la seguridad de los embalses. Su función radica en salvaguardar la integridad de la presa y, de las comunidades e infraestructuras situadas aguas abajo, mediante la evacuación controlada de los caudales excedentes que ingresan al vaso. Esta función de alivio de los excedentes de agua no es estática, y su eficacia está intrínsecamente ligada a la revisión y actualización constante del diseño y capacidad, un proceso que trasciende el mantenimiento rutinario para convertirse en un imperativo de la ingeniería hidráulica.</w:t>
                            </w:r>
                          </w:p>
                          <w:p w14:paraId="5A917F12" w14:textId="77777777" w:rsidR="002C452F" w:rsidRPr="002C452F" w:rsidRDefault="002C452F" w:rsidP="002C452F">
                            <w:pPr>
                              <w:jc w:val="both"/>
                              <w:rPr>
                                <w:lang w:val="es-ES"/>
                              </w:rPr>
                            </w:pPr>
                            <w:r w:rsidRPr="002C452F">
                              <w:rPr>
                                <w:lang w:val="es-ES"/>
                              </w:rPr>
                              <w:t>A lo largo de la historia de la ingeniería de presas, numerosas fallas catastróficas han estado vinculadas a la insuficiencia o al deterioro de las obras de excedencias. A ello se suma la dinámica de los fenómenos hidrológicos: el cambio climático ha inducido una modificación en los patrones de precipitación, resultando eventos extremos de mayor frecuencia e intensidad. Estos nuevos escenarios de avenidas de diseño, que exceden las previsiones iniciales de las obras proyectadas en el siglo XX, obligan a una revaluación exhaustiva de la capacidad de los vertederos para mitigar el riesgo de desbordamiento incontrolado.</w:t>
                            </w:r>
                          </w:p>
                          <w:p w14:paraId="1AC4C556" w14:textId="77777777" w:rsidR="002C452F" w:rsidRPr="002C452F" w:rsidRDefault="002C452F" w:rsidP="002C452F">
                            <w:pPr>
                              <w:jc w:val="both"/>
                              <w:rPr>
                                <w:lang w:val="es-ES"/>
                              </w:rPr>
                            </w:pPr>
                            <w:r w:rsidRPr="002C452F">
                              <w:rPr>
                                <w:lang w:val="es-ES"/>
                              </w:rPr>
                              <w:t>Aunado a los cambios hidrológicos, la longevidad de las estructuras impone desafíos de deterioro material y fatiga que tienen que ver con la exposición prolongada a la fuerza del agua (operación), la cavitación y los procesos de erosión en la descarga. La experiencia ha demostrado que las fallas en los vertederos, a menudo, son progresivas y su detección temprana es fundamental para evitar consecuencias trágicas.</w:t>
                            </w:r>
                          </w:p>
                          <w:p w14:paraId="09D32805" w14:textId="77777777" w:rsidR="002C452F" w:rsidRPr="002C452F" w:rsidRDefault="002C452F" w:rsidP="002C452F">
                            <w:pPr>
                              <w:jc w:val="both"/>
                              <w:rPr>
                                <w:lang w:val="es-ES"/>
                              </w:rPr>
                            </w:pPr>
                            <w:r w:rsidRPr="002C452F">
                              <w:rPr>
                                <w:lang w:val="es-ES"/>
                              </w:rPr>
                              <w:t>La actualización de las obras también puede responder a objetivos de optimización operativa, como el incremento de la capacidad de almacenamiento o la mejora de la eficiencia de las descargas. La modernización, impulsada por la evolución tecnológica, la mejora en la modelación hidráulica y un entendimiento más profundo de los riesgos geológicos permite la implementación de soluciones de ingeniería más avanzadas y seguras.</w:t>
                            </w:r>
                          </w:p>
                          <w:p w14:paraId="7B77D9E6" w14:textId="0F13EC39" w:rsidR="006176B1" w:rsidRPr="006C6E71" w:rsidRDefault="007D2087" w:rsidP="007D2087">
                            <w:pPr>
                              <w:rPr>
                                <w:rFonts w:ascii="Arial" w:hAnsi="Arial" w:cs="Arial"/>
                                <w:sz w:val="22"/>
                                <w:szCs w:val="22"/>
                              </w:rPr>
                            </w:pPr>
                            <w:r w:rsidRPr="007D2087">
                              <w:rPr>
                                <w:rFonts w:ascii="Arial" w:hAnsi="Arial" w:cs="Arial"/>
                                <w:sz w:val="22"/>
                                <w:szCs w:val="22"/>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65pt;margin-top:5.75pt;width:498pt;height:34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" fillcolor="white [3201]" strokeweight=".5pt">
                <v:textbox>
                  <w:txbxContent>
                    <w:p w14:paraId="5E4D67BC" w14:textId="77777777" w:rsidR="002C452F" w:rsidRPr="002C452F" w:rsidRDefault="002C452F" w:rsidP="002C452F">
                      <w:pPr>
                        <w:jc w:val="both"/>
                        <w:rPr>
                          <w:lang w:val="es-ES"/>
                        </w:rPr>
                      </w:pPr>
                      <w:r w:rsidRPr="002C452F">
                        <w:rPr>
                          <w:lang w:val="es-ES"/>
                        </w:rPr>
                        <w:t>Las obras de excedencias, comúnmente denominadas vertederos, representan el componente crítico en la seguridad de los embalses. Su función radica en salvaguardar la integridad de la presa y, de las comunidades e infraestructuras situadas aguas abajo, mediante la evacuación controlada de los caudales excedentes que ingresan al vaso. Esta función de alivio de los excedentes de agua no es estática, y su eficacia está intrínsecamente ligada a la revisión y actualización constante del diseño y capacidad, un proceso que trasciende el mantenimiento rutinario para convertirse en un imperativo de la ingeniería hidráulica.</w:t>
                      </w:r>
                    </w:p>
                    <w:p w14:paraId="5A917F12" w14:textId="77777777" w:rsidR="002C452F" w:rsidRPr="002C452F" w:rsidRDefault="002C452F" w:rsidP="002C452F">
                      <w:pPr>
                        <w:jc w:val="both"/>
                        <w:rPr>
                          <w:lang w:val="es-ES"/>
                        </w:rPr>
                      </w:pPr>
                      <w:r w:rsidRPr="002C452F">
                        <w:rPr>
                          <w:lang w:val="es-ES"/>
                        </w:rPr>
                        <w:t>A lo largo de la historia de la ingeniería de presas, numerosas fallas catastróficas han estado vinculadas a la insuficiencia o al deterioro de las obras de excedencias. A ello se suma la dinámica de los fenómenos hidrológicos: el cambio climático ha inducido una modificación en los patrones de precipitación, resultando eventos extremos de mayor frecuencia e intensidad. Estos nuevos escenarios de avenidas de diseño, que exceden las previsiones iniciales de las obras proyectadas en el siglo XX, obligan a una revaluación exhaustiva de la capacidad de los vertederos para mitigar el riesgo de desbordamiento incontrolado.</w:t>
                      </w:r>
                    </w:p>
                    <w:p w14:paraId="1AC4C556" w14:textId="77777777" w:rsidR="002C452F" w:rsidRPr="002C452F" w:rsidRDefault="002C452F" w:rsidP="002C452F">
                      <w:pPr>
                        <w:jc w:val="both"/>
                        <w:rPr>
                          <w:lang w:val="es-ES"/>
                        </w:rPr>
                      </w:pPr>
                      <w:r w:rsidRPr="002C452F">
                        <w:rPr>
                          <w:lang w:val="es-ES"/>
                        </w:rPr>
                        <w:t>Aunado a los cambios hidrológicos, la longevidad de las estructuras impone desafíos de deterioro material y fatiga que tienen que ver con la exposición prolongada a la fuerza del agua (operación), la cavitación y los procesos de erosión en la descarga. La experiencia ha demostrado que las fallas en los vertederos, a menudo, son progresivas y su detección temprana es fundamental para evitar consecuencias trágicas.</w:t>
                      </w:r>
                    </w:p>
                    <w:p w14:paraId="09D32805" w14:textId="77777777" w:rsidR="002C452F" w:rsidRPr="002C452F" w:rsidRDefault="002C452F" w:rsidP="002C452F">
                      <w:pPr>
                        <w:jc w:val="both"/>
                        <w:rPr>
                          <w:lang w:val="es-ES"/>
                        </w:rPr>
                      </w:pPr>
                      <w:r w:rsidRPr="002C452F">
                        <w:rPr>
                          <w:lang w:val="es-ES"/>
                        </w:rPr>
                        <w:t>La actualización de las obras también puede responder a objetivos de optimización operativa, como el incremento de la capacidad de almacenamiento o la mejora de la eficiencia de las descargas. La modernización, impulsada por la evolución tecnológica, la mejora en la modelación hidráulica y un entendimiento más profundo de los riesgos geológicos permite la implementación de soluciones de ingeniería más avanzadas y seguras.</w:t>
                      </w:r>
                    </w:p>
                    <w:p w14:paraId="7B77D9E6" w14:textId="0F13EC39" w:rsidR="006176B1" w:rsidRPr="006C6E71" w:rsidRDefault="007D2087" w:rsidP="007D2087">
                      <w:pPr>
                        <w:rPr>
                          <w:rFonts w:ascii="Arial" w:hAnsi="Arial" w:cs="Arial"/>
                          <w:sz w:val="22"/>
                          <w:szCs w:val="22"/>
                        </w:rPr>
                      </w:pPr>
                      <w:r w:rsidRPr="007D2087">
                        <w:rPr>
                          <w:rFonts w:ascii="Arial" w:hAnsi="Arial" w:cs="Arial"/>
                          <w:sz w:val="22"/>
                          <w:szCs w:val="22"/>
                        </w:rPr>
                        <w:t> </w:t>
                      </w: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11"/>
      <w:footerReference w:type="default" r:id="rId12"/>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DA275" w14:textId="77777777" w:rsidR="00513BF3" w:rsidRDefault="00513BF3">
      <w:r>
        <w:separator/>
      </w:r>
    </w:p>
  </w:endnote>
  <w:endnote w:type="continuationSeparator" w:id="0">
    <w:p w14:paraId="3E2F29B9" w14:textId="77777777" w:rsidR="00513BF3" w:rsidRDefault="0051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Piedepgina"/>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5CF906D8" w:rsidR="00413342" w:rsidRPr="007D2087" w:rsidRDefault="00E07BFF">
                          <w:pPr>
                            <w:rPr>
                              <w:rFonts w:ascii="Arial" w:hAnsi="Arial" w:cs="Arial"/>
                              <w:sz w:val="22"/>
                              <w:szCs w:val="22"/>
                              <w:lang w:val="es-MX"/>
                            </w:rPr>
                          </w:pPr>
                          <w:r>
                            <w:rPr>
                              <w:rFonts w:ascii="Arial" w:hAnsi="Arial" w:cs="Arial"/>
                              <w:sz w:val="22"/>
                              <w:szCs w:val="22"/>
                              <w:lang w:val="es-MX"/>
                            </w:rPr>
                            <w:t>Haydeé Lilián Ruiz Silva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5CF906D8" w:rsidR="00413342" w:rsidRPr="007D2087" w:rsidRDefault="00E07BFF">
                    <w:pPr>
                      <w:rPr>
                        <w:rFonts w:ascii="Arial" w:hAnsi="Arial" w:cs="Arial"/>
                        <w:sz w:val="22"/>
                        <w:szCs w:val="22"/>
                        <w:lang w:val="es-MX"/>
                      </w:rPr>
                    </w:pPr>
                    <w:r>
                      <w:rPr>
                        <w:rFonts w:ascii="Arial" w:hAnsi="Arial" w:cs="Arial"/>
                        <w:sz w:val="22"/>
                        <w:szCs w:val="22"/>
                        <w:lang w:val="es-MX"/>
                      </w:rPr>
                      <w:t>Haydeé Lilián Ruiz Silva</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F29A" w14:textId="77777777" w:rsidR="00513BF3" w:rsidRDefault="00513BF3">
      <w:r>
        <w:separator/>
      </w:r>
    </w:p>
  </w:footnote>
  <w:footnote w:type="continuationSeparator" w:id="0">
    <w:p w14:paraId="0697C52C" w14:textId="77777777" w:rsidR="00513BF3" w:rsidRDefault="00513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Encabezado"/>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Encabezado"/>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Encabezado"/>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1F7D"/>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452F"/>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E502B"/>
    <w:rsid w:val="004F651E"/>
    <w:rsid w:val="0050170E"/>
    <w:rsid w:val="00504333"/>
    <w:rsid w:val="005070E3"/>
    <w:rsid w:val="00513217"/>
    <w:rsid w:val="00513BF3"/>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5880"/>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0F6A"/>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1B16"/>
    <w:rsid w:val="007B2330"/>
    <w:rsid w:val="007B4666"/>
    <w:rsid w:val="007B6296"/>
    <w:rsid w:val="007C023D"/>
    <w:rsid w:val="007C101E"/>
    <w:rsid w:val="007C47B7"/>
    <w:rsid w:val="007C711D"/>
    <w:rsid w:val="007D2087"/>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1F31"/>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C05DC"/>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4435"/>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2739"/>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1921"/>
    <w:rsid w:val="00D02476"/>
    <w:rsid w:val="00D027A7"/>
    <w:rsid w:val="00D04040"/>
    <w:rsid w:val="00D05614"/>
    <w:rsid w:val="00D07CA1"/>
    <w:rsid w:val="00D12D36"/>
    <w:rsid w:val="00D12E00"/>
    <w:rsid w:val="00D14F2E"/>
    <w:rsid w:val="00D17D9A"/>
    <w:rsid w:val="00D23337"/>
    <w:rsid w:val="00D2371F"/>
    <w:rsid w:val="00D23EE3"/>
    <w:rsid w:val="00D25C90"/>
    <w:rsid w:val="00D27ABF"/>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07BFF"/>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4F62"/>
    <w:rsid w:val="00E7521D"/>
    <w:rsid w:val="00E77F02"/>
    <w:rsid w:val="00E8073A"/>
    <w:rsid w:val="00E861D4"/>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4ADD"/>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Ttulo1">
    <w:name w:val="heading 1"/>
    <w:basedOn w:val="Normal"/>
    <w:next w:val="Normal"/>
    <w:qFormat/>
    <w:pPr>
      <w:keepNext/>
      <w:outlineLvl w:val="0"/>
    </w:pPr>
    <w:rPr>
      <w:u w:val="single"/>
    </w:rPr>
  </w:style>
  <w:style w:type="paragraph" w:styleId="Ttulo2">
    <w:name w:val="heading 2"/>
    <w:basedOn w:val="Normal"/>
    <w:next w:val="Normal"/>
    <w:qFormat/>
    <w:pPr>
      <w:keepNext/>
      <w:outlineLvl w:val="1"/>
    </w:pPr>
    <w:rPr>
      <w:b/>
      <w:bCs/>
    </w:rPr>
  </w:style>
  <w:style w:type="paragraph" w:styleId="Ttulo3">
    <w:name w:val="heading 3"/>
    <w:basedOn w:val="Normal"/>
    <w:next w:val="Normal"/>
    <w:qFormat/>
    <w:pPr>
      <w:keepNext/>
      <w:tabs>
        <w:tab w:val="left" w:pos="2340"/>
        <w:tab w:val="left" w:pos="4320"/>
        <w:tab w:val="left" w:pos="6660"/>
      </w:tabs>
      <w:outlineLvl w:val="2"/>
    </w:pPr>
    <w:rPr>
      <w:sz w:val="20"/>
      <w:u w:val="single"/>
    </w:rPr>
  </w:style>
  <w:style w:type="paragraph" w:styleId="Ttulo4">
    <w:name w:val="heading 4"/>
    <w:basedOn w:val="Normal"/>
    <w:next w:val="Normal"/>
    <w:qFormat/>
    <w:rsid w:val="00192D3D"/>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Pr>
      <w:sz w:val="22"/>
    </w:rPr>
  </w:style>
  <w:style w:type="character" w:styleId="Hipervnculo">
    <w:name w:val="Hyperlink"/>
    <w:rPr>
      <w:color w:val="0000FF"/>
      <w:u w:val="single"/>
    </w:rPr>
  </w:style>
  <w:style w:type="paragraph" w:styleId="Textoindependiente2">
    <w:name w:val="Body Text 2"/>
    <w:basedOn w:val="Normal"/>
    <w:pPr>
      <w:tabs>
        <w:tab w:val="left" w:pos="2520"/>
        <w:tab w:val="left" w:pos="4680"/>
        <w:tab w:val="left" w:pos="6840"/>
      </w:tabs>
    </w:pPr>
    <w:rPr>
      <w:sz w:val="20"/>
    </w:rPr>
  </w:style>
  <w:style w:type="character" w:styleId="Hipervnculovisitado">
    <w:name w:val="FollowedHyperlink"/>
    <w:rPr>
      <w:color w:val="800080"/>
      <w:u w:val="single"/>
    </w:rPr>
  </w:style>
  <w:style w:type="paragraph" w:styleId="Textonotapie">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Refdenotaalpi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Descripcin">
    <w:name w:val="caption"/>
    <w:basedOn w:val="Normal"/>
    <w:next w:val="Normal"/>
    <w:qFormat/>
    <w:rsid w:val="003E6DAE"/>
    <w:rPr>
      <w:b/>
      <w:bCs/>
      <w:sz w:val="20"/>
      <w:szCs w:val="20"/>
    </w:rPr>
  </w:style>
  <w:style w:type="paragraph" w:styleId="Sangra2detindependiente">
    <w:name w:val="Body Text Indent 2"/>
    <w:basedOn w:val="Normal"/>
    <w:rsid w:val="003E6DAE"/>
    <w:pPr>
      <w:widowControl w:val="0"/>
      <w:autoSpaceDE w:val="0"/>
      <w:autoSpaceDN w:val="0"/>
      <w:adjustRightInd w:val="0"/>
      <w:spacing w:after="120" w:line="480" w:lineRule="auto"/>
      <w:ind w:left="360"/>
    </w:pPr>
  </w:style>
  <w:style w:type="table" w:styleId="Tablaconcuadrcula">
    <w:name w:val="Table Grid"/>
    <w:basedOn w:val="Tabla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rsid w:val="00F2553C"/>
    <w:pPr>
      <w:tabs>
        <w:tab w:val="center" w:pos="4320"/>
        <w:tab w:val="right" w:pos="8640"/>
      </w:tabs>
    </w:pPr>
  </w:style>
  <w:style w:type="paragraph" w:styleId="Piedepgina">
    <w:name w:val="footer"/>
    <w:basedOn w:val="Normal"/>
    <w:rsid w:val="00F2553C"/>
    <w:pPr>
      <w:tabs>
        <w:tab w:val="center" w:pos="4320"/>
        <w:tab w:val="right" w:pos="8640"/>
      </w:tabs>
    </w:pPr>
  </w:style>
  <w:style w:type="character" w:styleId="Nmerodepgina">
    <w:name w:val="page number"/>
    <w:basedOn w:val="Fuentedeprrafopredeter"/>
    <w:rsid w:val="00F2553C"/>
  </w:style>
  <w:style w:type="paragraph" w:styleId="Textodeglobo">
    <w:name w:val="Balloon Text"/>
    <w:basedOn w:val="Normal"/>
    <w:semiHidden/>
    <w:rsid w:val="000145E7"/>
    <w:rPr>
      <w:rFonts w:ascii="Tahoma" w:hAnsi="Tahoma" w:cs="Tahoma"/>
      <w:sz w:val="16"/>
      <w:szCs w:val="16"/>
    </w:rPr>
  </w:style>
  <w:style w:type="character" w:styleId="Refdecomentario">
    <w:name w:val="annotation reference"/>
    <w:semiHidden/>
    <w:rsid w:val="007351E6"/>
    <w:rPr>
      <w:sz w:val="16"/>
      <w:szCs w:val="16"/>
    </w:rPr>
  </w:style>
  <w:style w:type="paragraph" w:styleId="Textocomentario">
    <w:name w:val="annotation text"/>
    <w:basedOn w:val="Normal"/>
    <w:semiHidden/>
    <w:rsid w:val="007351E6"/>
    <w:rPr>
      <w:sz w:val="20"/>
      <w:szCs w:val="20"/>
    </w:rPr>
  </w:style>
  <w:style w:type="paragraph" w:styleId="Asuntodelcomentario">
    <w:name w:val="annotation subject"/>
    <w:basedOn w:val="Textocomentario"/>
    <w:next w:val="Textocomentario"/>
    <w:semiHidden/>
    <w:rsid w:val="007351E6"/>
    <w:rPr>
      <w:b/>
      <w:bCs/>
    </w:rPr>
  </w:style>
  <w:style w:type="paragraph" w:styleId="Textosinformato">
    <w:name w:val="Plain Text"/>
    <w:basedOn w:val="Normal"/>
    <w:rsid w:val="00871328"/>
    <w:rPr>
      <w:rFonts w:ascii="Courier New" w:hAnsi="Courier New" w:cs="Courier New"/>
      <w:sz w:val="20"/>
      <w:szCs w:val="20"/>
    </w:rPr>
  </w:style>
  <w:style w:type="paragraph" w:styleId="Textoindependiente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Mencinsinresolver">
    <w:name w:val="Unresolved Mention"/>
    <w:uiPriority w:val="99"/>
    <w:semiHidden/>
    <w:unhideWhenUsed/>
    <w:rsid w:val="00162C68"/>
    <w:rPr>
      <w:color w:val="605E5C"/>
      <w:shd w:val="clear" w:color="auto" w:fill="E1DFDD"/>
    </w:rPr>
  </w:style>
  <w:style w:type="paragraph" w:styleId="Prrafodelista">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dee.ruizs@cfe.m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aydee.ruizs@cfe.m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sadoth.huerta@cfe.mx" TargetMode="External"/><Relationship Id="rId4" Type="http://schemas.openxmlformats.org/officeDocument/2006/relationships/webSettings" Target="webSettings.xml"/><Relationship Id="rId9" Type="http://schemas.openxmlformats.org/officeDocument/2006/relationships/hyperlink" Target="mailto:sadoth.huerta@cfe.m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257</Words>
  <Characters>1417</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ABSTRACT</vt:lpstr>
      <vt:lpstr>ABSTRACT</vt:lpstr>
    </vt:vector>
  </TitlesOfParts>
  <Company>Freese and Nichols</Company>
  <LinksUpToDate>false</LinksUpToDate>
  <CharactersWithSpaces>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HAYDEE LILIAN RUIZ SILVA</cp:lastModifiedBy>
  <cp:revision>2</cp:revision>
  <cp:lastPrinted>2025-08-10T23:03:00Z</cp:lastPrinted>
  <dcterms:created xsi:type="dcterms:W3CDTF">2025-10-11T01:39:00Z</dcterms:created>
  <dcterms:modified xsi:type="dcterms:W3CDTF">2025-10-11T01:39:00Z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